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SprAuG — Seeschiffahrt</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Auf Seeschiffahrtsunternehmen (§ 114 Abs. 2 des Betriebsverfassungsgesetzes) und ihre Betriebe ist dieses Gesetz anzuwenden, soweit sich aus den Absätzen 2 bis 4 nichts anderes ergibt.</w:t>
      </w:r>
    </w:p>
    <w:p>
      <w:r>
        <w:t xml:space="preserve">(2) Sprecherausschüsse werden nur in den Landbetrieben von Seeschiffahrtsunternehmen gewählt.</w:t>
      </w:r>
    </w:p>
    <w:p>
      <w:r>
        <w:t xml:space="preserve">(3) Leitende Angestellte im Sinne des § 1 Abs. 1 dieses Gesetzes sind in einem Seebetrieb (§ 114 Abs. 3 und 4 des Betriebsverfassungsgesetzes) nur die Kapitäne. Sie gelten für die Anwendung dieses Gesetzes als leitende Angestellte des Landbetriebs. Bestehen mehrere Landbetriebe, so gelten sie als leitende Angestellte des nach der Zahl der leitenden Angestellten größten Landbetriebs.</w:t>
      </w:r>
    </w:p>
    <w:p>
      <w:r>
        <w:t xml:space="preserve">(4) Die Vorschriften über die Wahl des Sprecherausschusses finden auf Sprecherausschüsse in den Landbetrieben von Seeschiffahrtsunternehmen mit folgender Maßgabe Anwendung:</w:t>
      </w:r>
    </w:p>
    <w:p>
      <w:pPr>
        <w:ind w:left="420"/>
      </w:pPr>
      <w:r>
        <w:t xml:space="preserve">1. Die in § 7 Abs. 1 genannte Frist wird auf sechzehn Wochen verlängert.</w:t>
      </w:r>
    </w:p>
    <w:p>
      <w:pPr>
        <w:ind w:left="420"/>
      </w:pPr>
      <w:r>
        <w:t xml:space="preserve">2. Die Frist für die Wahlanfechtung nach § 8 Abs. 1 Satz 3 beginnt für die leitenden Angestellten an Bord, wenn das Schiff nach Bekanntgabe des Wahlergebnisses erstmalig einen Hafen im Geltungsbereich dieses Gesetzes oder einen Hafen, in dem ein Seemannsamt seinen Sitz hat, anläuft. Nach Ablauf von drei Monaten seit Bekanntgabe des Wahlergebnisses ist eine Wahlanfechtung unzulässig. Die Wahlanfechtung kann auch zu Protokoll des Seemannsamtes erklärt werden. Die Anfechtungserklärung ist vom Seemannsamt unverzüglich an das für die Anfechtung zuständige Arbeitsgericht weiterzuleiten.</w:t>
      </w:r>
    </w:p>
    <w:p>
      <w:r>
        <w:rPr>
          <w:color w:val="555555"/>
          <w:sz w:val="17"/>
        </w:rPr>
        <w:t xml:space="preserve">Zitiervorschlag: § 33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