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SprAuG — Wahlberechtigung und Wählbarkeit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Wahlberechtigt sind alle leitenden Angestellten des Betriebs.</w:t>
      </w:r>
    </w:p>
    <w:p>
      <w:r>
        <w:t xml:space="preserve">(2) Wählbar sind alle leitenden Angestellten, die sechs Monate dem Betrieb angehören. Auf die sechsmonatige Betriebszugehörigkeit werden Zeiten angerechnet, in denen der leitende Angestellte unmittelbar vorher einem anderen Betrieb desselben Unternehmens oder Konzerns (§ 18 Abs. 1 des Aktiengesetzes) als Beschäftigter angehört hat. Nicht wählbar ist, wer</w:t>
      </w:r>
    </w:p>
    <w:p>
      <w:pPr>
        <w:ind w:left="420"/>
      </w:pPr>
      <w:r>
        <w:t xml:space="preserve">1. aufgrund allgemeinen Auftrags des Arbeitgebers Verhandlungspartner des Sprecherausschusses ist,</w:t>
      </w:r>
    </w:p>
    <w:p>
      <w:pPr>
        <w:ind w:left="420"/>
      </w:pPr>
      <w:r>
        <w:t xml:space="preserve">2. nicht Aufsichtsratsmitglied der Arbeitnehmer nach § 6 Abs. 2 Satz 1 des Mitbestimmungsgesetzes in Verbindung mit § 105 Abs. 1 des Aktiengesetzes sein kann oder</w:t>
      </w:r>
    </w:p>
    <w:p>
      <w:pPr>
        <w:ind w:left="420"/>
      </w:pPr>
      <w:r>
        <w:t xml:space="preserve">3. infolge strafgerichtlicher Verurteilung die Fähigkeit, Rechte aus öffentlichen Wahlen zu erlangen, nicht besitzt.</w:t>
      </w:r>
    </w:p>
    <w:p>
      <w:r>
        <w:rPr>
          <w:color w:val="555555"/>
          <w:sz w:val="17"/>
        </w:rPr>
        <w:t xml:space="preserve">Zitiervorschlag: § 3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