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SprAuG — Ausschluß von Mitgliedern und Erlöschen der Mitgliedschaft</w:t>
      </w:r>
    </w:p>
    <w:p>
      <w:r>
        <w:rPr>
          <w:color w:val="555555"/>
          <w:sz w:val="18"/>
        </w:rPr>
        <w:t xml:space="preserve">Sprecherausschußgesetz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Mindestens ein Viertel der leitenden Angestellten der Konzernunternehmen, der Konzernsprecherausschuß oder der Arbeitgeber können beim Arbeitsgericht den Ausschluß eines Mitglieds aus dem Konzernsprecherausschuß wegen grober Verletzung seiner gesetzlichen Pflichten beantragen.</w:t>
      </w:r>
    </w:p>
    <w:p>
      <w:r>
        <w:t xml:space="preserve">(2) Die Mitgliedschaft im Konzernsprecherausschuß endet mit dem Erlöschen der Mitgliedschaft im Gesamtsprecherausschuß, durch Amtsniederlegung, durch Ausschluß aus dem Konzernsprecherausschuß aufgrund einer gerichtlichen Entscheidung oder Abberufung durch den Gesamtsprecherausschuß.</w:t>
      </w:r>
    </w:p>
    <w:p>
      <w:r>
        <w:rPr>
          <w:color w:val="555555"/>
          <w:sz w:val="17"/>
        </w:rPr>
        <w:t xml:space="preserve">Zitiervorschlag: § 22 SprAuG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https://recht.nulegal.eu/gesetze/SprAuG/22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