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SprAuG — Ausschluß von Mitgliedern und Erlöschen der Mitgliedschaft</w:t>
      </w:r>
    </w:p>
    <w:p>
      <w:r>
        <w:rPr>
          <w:color w:val="555555"/>
          <w:sz w:val="18"/>
        </w:rPr>
        <w:t xml:space="preserve">Sprecherausschußgesetz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Mindestens ein Viertel der leitenden Angestellten des Unternehmens, der Gesamtsprecherausschuß oder der Arbeitgeber können beim Arbeitsgericht den Ausschluß eines Mitglieds aus dem Gesamtsprecherausschuß wegen grober Verletzung seiner gesetzlichen Pflichten beantragen.</w:t>
      </w:r>
    </w:p>
    <w:p>
      <w:r>
        <w:t xml:space="preserve">(2) Die Mitgliedschaft im Gesamtsprecherausschuß endet mit Erlöschen der Mitgliedschaft im Sprecherausschuß, durch Amtsniederlegung, durch Ausschluß aus dem Gesamtsprecherausschuß aufgrund einer gerichtlichen Entscheidung oder Abberufung durch den Sprecherausschuß.</w:t>
      </w:r>
    </w:p>
    <w:p>
      <w:r>
        <w:rPr>
          <w:color w:val="555555"/>
          <w:sz w:val="17"/>
        </w:rPr>
        <w:t xml:space="preserve">Zitiervorschlag: § 17 SprAuG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https://recht.nulegal.eu/gesetze/SprAuG/17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