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SportfAusbV — Zwischenprüfung</w:t>
      </w:r>
    </w:p>
    <w:p>
      <w:r>
        <w:rPr>
          <w:color w:val="555555"/>
          <w:sz w:val="18"/>
        </w:rPr>
        <w:t xml:space="preserve">Verordnung über die Berufsausbildung zum Sportfachmann/zur Sportfachfrau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zur Mitte des zweiten Ausbildungsjahres stattfinden.</w:t>
      </w:r>
    </w:p>
    <w:p>
      <w:r>
        <w:t xml:space="preserve">(2) Die Zwischenprüfung erstreckt sich auf die in der Anlage 2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findet im Prüfungsbereich Leistungsprozesse im Sport- und Fitnessbereich statt. Darin soll der Prüfling nachweisen, dass er</w:t>
      </w:r>
    </w:p>
    <w:p>
      <w:pPr>
        <w:ind w:left="420"/>
      </w:pPr>
      <w:r>
        <w:t xml:space="preserve">1. betriebliche Rechnungsvorgänge bearbeiten,</w:t>
      </w:r>
    </w:p>
    <w:p>
      <w:pPr>
        <w:ind w:left="420"/>
      </w:pPr>
      <w:r>
        <w:t xml:space="preserve">2. einzelne betriebliche Leistungsangebote ausgestalten und</w:t>
      </w:r>
    </w:p>
    <w:p>
      <w:pPr>
        <w:ind w:left="420"/>
      </w:pPr>
      <w:r>
        <w:t xml:space="preserve">3. den Einsatz von Kommunikationsmitteln planen</w:t>
      </w:r>
    </w:p>
    <w:p>
      <w:r>
        <w:t xml:space="preserve">kann.</w:t>
      </w:r>
    </w:p>
    <w:p>
      <w:r>
        <w:t xml:space="preserve">(4) Im Prüfungsbereich Leistungsprozesse im Sport- und Fitnessbereich soll der Prüfling praxisbezogene schriftliche Aufgaben bearbeiten. Die Prüfungszeit beträgt 120 Minuten.</w:t>
      </w:r>
    </w:p>
    <w:p>
      <w:r>
        <w:rPr>
          <w:color w:val="555555"/>
          <w:sz w:val="17"/>
        </w:rPr>
        <w:t xml:space="preserve">Zitiervorschlag: § 5 SportfAusbV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