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SportbootVermV-Bin2000AbwV 1</w:t>
      </w:r>
    </w:p>
    <w:p>
      <w:r>
        <w:rPr>
          <w:color w:val="555555"/>
          <w:sz w:val="18"/>
        </w:rPr>
        <w:t xml:space="preserve">Erste Verordnung zur vorübergehenden Abweichung von der Binnenschifffahrt-Sportbootvermietungsverordnung</w:t>
      </w:r>
    </w:p>
    <w:p>
      <w:r>
        <w:rPr>
          <w:color w:val="555555"/>
          <w:sz w:val="18"/>
        </w:rPr>
        <w:t xml:space="preserve">Historische Fassung: Stand 02.07.2019 bis 01.01.2022. Dies ist nicht die aktuelle Fassung.</w:t>
      </w:r>
    </w:p>
    <w:p>
      <w:r>
        <w:t xml:space="preserve">Aufgrund des § 3 Absatz 1 Nummer 1, 2 und 5 in Verbindung mit Absatz 6 Nummer 1 Buchstabe a und b des Binnenschifffahrtsaufgabengesetzes in der Fassung der Bekanntmachung vom 5. Juli 2001 (BGBl. I S. 2026) und in Verbindung mit § 2a der Binnenschifffahrt-Sportbootvermietungsverordnung vom 18. April 2000 (BGBl. I S. 572), von denen § 3 Absatz 1 des Binnenschifffahrtsaufgabengesetzes im Satzteil vor Nummer 1 zuletzt durch Artikel 1 Nummer 3 Buchstabe a des Gesetzes vom 25. April 2017 (BGBl. I S. 962) geändert, § 3 Absatz 1 Nummer 2 des Binnenschifffahrtsaufgabengesetzes durch Artikel 1 Nummer 3 Buchstabe a Doppelbuchstabe bb des Gesetzes vom 19. Juli 2005 (BGBl. I S. 2186) geändert und § 2a der Binnenschifffahrt-Sportbootvermietungsverordnung durch Artikel 2 § 6 der Verordnung vom 16. Dezember 2016 (BGBl. I S. 2948) eingefügt worden sind, verordnet die Generaldirektion Wasserstraßen und Schifffahrt:</w:t>
      </w:r>
    </w:p>
    <w:p>
      <w:r>
        <w:rPr>
          <w:color w:val="555555"/>
          <w:sz w:val="17"/>
        </w:rPr>
        <w:t xml:space="preserve">Zitiervorschlag: Eingangsformel SportbootVermV-Bin2000AbwV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https://recht.nulegal.eu/gesetze/SportbootVermV-Bin2000AbwV%201/eingangsformel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SportbootVermV-Bin2000AbwV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