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SportbootVermV-Bin2000 — Nachweis über die Fahrtauglichkeit</w:t>
      </w:r>
    </w:p>
    <w:p>
      <w:r>
        <w:rPr>
          <w:color w:val="555555"/>
          <w:sz w:val="18"/>
        </w:rPr>
        <w:t xml:space="preserve">Binnenschifffahrt-Sportbootvermietungsverordnung</w:t>
      </w:r>
    </w:p>
    <w:p>
      <w:r>
        <w:rPr>
          <w:color w:val="555555"/>
          <w:sz w:val="18"/>
        </w:rPr>
        <w:t xml:space="preserve">Stand: 21.10.2025 (konsolidierte Textfassung, kein amtliches Inkrafttretensdatum)</w:t>
      </w:r>
    </w:p>
    <w:p>
      <w:r>
        <w:t xml:space="preserve">(1) Nachweise über die Fahrtauglichkeit der Sportboote sind:</w:t>
      </w:r>
    </w:p>
    <w:p>
      <w:pPr>
        <w:ind w:left="420"/>
      </w:pPr>
      <w:r>
        <w:t xml:space="preserve">1. eine Fahrtauglichkeitsbescheinigung nach der Binnenschiffsuntersuchungsordnung,</w:t>
      </w:r>
    </w:p>
    <w:p>
      <w:pPr>
        <w:ind w:left="420"/>
      </w:pPr>
      <w:r>
        <w:t xml:space="preserve">2. ein gültiges Abnahmeprotokoll eines öffentlich bestellten und vereidigten Sachverständigen oder eines nach Norm DIN EN ISO/IEC 17024, Ausgabe November 2012, von einer akkreditierten Stelle zertifizierten Boots- und Yachtsachverständigen mit dem Inhalt der Anlage 2 oder</w:t>
      </w:r>
    </w:p>
    <w:p>
      <w:pPr>
        <w:ind w:left="420"/>
      </w:pPr>
      <w:r>
        <w:t xml:space="preserve">3. eine gültige EU-Konformitätserklärung nach dem Muster des Anhangs IV der Richtlinie 2013/53/EU.</w:t>
      </w:r>
    </w:p>
    <w:p>
      <w:r>
        <w:t xml:space="preserve">(2) Abweichend von Absatz 1 kann die Fahrtauglichkeit für Sportboote, die der Richtlinie 2013/53/EU nicht unterliegen, durch ein Abnahmeprotokoll mit dem Inhalt der Anlage 3 vom Wasserstraßen- und Schifffahrtsamt bescheinigt werden. Bei neuen Sportbooten, die in Serie hergestellt werden und die mit einer Seriennummerierung versehen sind, kann der Hersteller einen Prototyp vom Wasserstraßen- und Schifffahrtsamt überprüfen lassen. Der Nachweis der Fahrtauglichkeit ist für Sportboote dieser Baureihe die Kopie des Abnahmeprotokolls für den Prototyp zusammen mit der Herstellerbescheinigung, die die Baugleichheit mit den übrigen Sportbooten dieser Baureihe bestätigt, wenn im Abnahmeprotokoll die Seriennummern der Sportboote aufgeführt sind, für die er gelten soll.</w:t>
      </w:r>
    </w:p>
    <w:p>
      <w:r>
        <w:t xml:space="preserve">(3) Durch den Nachweis über die Fahrtauglichkeit wird bescheinigt, dass das Sportboot zum Zeitpunkt der Abnahme oder im Falle des Absatzes 1 Nummer 3 zum Zeitpunkt der Bereitstellung auf dem Markt oder der Inbetriebnahme für fahrtauglich befunden worden ist.</w:t>
      </w:r>
    </w:p>
    <w:p>
      <w:r>
        <w:t xml:space="preserve">(4) Abnahmeprotokolle nach Absatz 1 Nummer 2 für neue Sportboote gelten zehn Jahre. Die Gültigkeitsdauer der Abnahmeprotokolle für die übrigen Sportboote nach Absatz 1 Nummer 2 wird vom Sachverständigen festgelegt, längstens jedoch für zehn Jahre. Sportboote nach Absatz 1 Nummer 3 müssen nach zehn Jahren ein Abnahmeprotokoll nach Absatz 1 Nummer 2 beim zuständigen Wasserstraßen- und Schifffahrtsamt vorlegen; hinsichtlich der Gültigkeit ist Satz 2 anzuwenden. Abnahmeprotokolle nach Absatz 2 für neue Sportbote gelten sechs Jahre. Die Gültigkeitsdauer der Abnahmeprotokolle für die übrigen Sportboote nach Absatz 2 wird vom zuständigen Wasserstraßen- und Schifffahrtsamt festgelegt, längstens jedoch für sechs Jahre.</w:t>
      </w:r>
    </w:p>
    <w:p>
      <w:r>
        <w:t xml:space="preserve">(5) Abnahmeprotokolle aus anderen Mitgliedstaaten der Europäischen Gemeinschaft oder aus den Mitgliedstaaten des Europäischen Wirtschaftsraumes sind einschließlich der durchgeführten Prüfungen und Überwachungen von dem Wasserstraßen- und Schifffahrtsamt als gleichwertig anzuerkennen, wenn in ihnen das Schutzniveau der Nachweise nach den Absätzen 1 bis 4 bescheinigt ist.</w:t>
      </w:r>
    </w:p>
    <w:p>
      <w:r>
        <w:rPr>
          <w:color w:val="555555"/>
          <w:sz w:val="17"/>
        </w:rPr>
        <w:t xml:space="preserve">Zitiervorschlag: § 5 SportbootVermV-Bin2000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https://recht.nulegal.eu/gesetze/SportbootVermV-Bin2000/5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