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SportbootVermV-Bin2000 — Grundregel, Zuständigkeit</w:t>
      </w:r>
    </w:p>
    <w:p>
      <w:r>
        <w:rPr>
          <w:color w:val="555555"/>
          <w:sz w:val="18"/>
        </w:rPr>
        <w:t xml:space="preserve">Binnenschifffahrt-Sportbootvermietungsverordnung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Sportboot darf nur vermietet werden, wenn es dafür technisch zugelassen ist. Die technische Zulassung wird auf Antrag des Unternehmens vom Wasserstraßen- und Schifffahrtsamt durch das Bootszeugnis nach dem Muster der Anlage 1 erteilt.</w:t>
      </w:r>
    </w:p>
    <w:p>
      <w:r>
        <w:t xml:space="preserve">(2) Zur Durchführung dieser Verordnung ist das Wasserstraßen- und Schifffahrtsamt zuständig,</w:t>
      </w:r>
    </w:p>
    <w:p>
      <w:pPr>
        <w:ind w:left="420"/>
      </w:pPr>
      <w:r>
        <w:t xml:space="preserve">1. in dessen Amtsbezirk das Sportboot seinen ständigen Liegeplatz hat oder sich die Betriebsstätte befindet oder</w:t>
      </w:r>
    </w:p>
    <w:p>
      <w:pPr>
        <w:ind w:left="420"/>
      </w:pPr>
      <w:r>
        <w:t xml:space="preserve">2. das dem Sitz des Unternehmens am nächsten liegt.</w:t>
      </w:r>
    </w:p>
    <w:p>
      <w:r>
        <w:rPr>
          <w:color w:val="555555"/>
          <w:sz w:val="17"/>
        </w:rPr>
        <w:t xml:space="preserve">Zitiervorschlag: § 3 SportbootVermV-Bin2000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https://recht.nulegal.eu/gesetze/SportbootVermV-Bin2000/3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