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2a SportbootVermV-Bin2000 — Rechtsverordnung mit vorübergehender Geltungsdauer</w:t>
      </w:r>
    </w:p>
    <w:p>
      <w:r>
        <w:rPr>
          <w:color w:val="555555"/>
          <w:sz w:val="18"/>
        </w:rPr>
        <w:t xml:space="preserve">Binnenschifffahrt-Sportbootvermietungsverordnung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Generaldirektion Wasserstraßen und Schifffahrt wird die Befugnis nach § 3 Absatz 1, auch in Verbindung mit Absatz 2 und 6, des Binnenschifffahrtsaufgabengesetzes übertragen, durch Rechtsverordnung zu Versuchszwecken oder bis zu einer Änderung eine von dieser Verordnung abweichende Regelung bis zur Dauer von drei Jahren zu treffen.</w:t>
      </w:r>
    </w:p>
    <w:p>
      <w:r>
        <w:rPr>
          <w:color w:val="555555"/>
          <w:sz w:val="17"/>
        </w:rPr>
        <w:t xml:space="preserve">Zitiervorschlag: § 2a SportbootVermV-Bin2000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https://recht.nulegal.eu/gesetze/SportbootVermV-Bin2000/2a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