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SportbootVermV-Bin2000 — Geltungsbereich</w:t>
      </w:r>
    </w:p>
    <w:p>
      <w:r>
        <w:rPr>
          <w:color w:val="555555"/>
          <w:sz w:val="18"/>
        </w:rPr>
        <w:t xml:space="preserve">Binnenschifffahrt-Sportbootvermietungsverordnung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für das Vermieten und Mieten von Sportbooten zur Teilnahme am Verkehr auf den Binnenschifffahrtsstraßen.</w:t>
      </w:r>
    </w:p>
    <w:p>
      <w:r>
        <w:rPr>
          <w:color w:val="555555"/>
          <w:sz w:val="17"/>
        </w:rPr>
        <w:t xml:space="preserve">Zitiervorschlag: § 1 SportbootVermV-Bin2000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https://recht.nulegal.eu/gesetze/SportbootVermV-Bin2000/1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