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SportSeeSchV — Prüfungsanforderungen zum Erwerb der Zusatzeinträge für die Traditionsschiffahrt und zum Erwerb des Befähigungsnachweises zum Maschinisten</w:t>
      </w:r>
    </w:p>
    <w:p>
      <w:r>
        <w:rPr>
          <w:color w:val="555555"/>
          <w:sz w:val="18"/>
        </w:rPr>
        <w:t xml:space="preserve">Sportseeschifferscheinverordnung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Feststellung einer Befähigung als Schiffer im Sinne des § 1 Abs. 5 oder Maschinist im Sinne des § 1 Abs. 6 von Traditionsschiffen kann erst dann erfolgen, wenn die entsprechende Qualifikation und der Erfahrungsnachweis vorliegen.</w:t>
      </w:r>
    </w:p>
    <w:p>
      <w:r>
        <w:t xml:space="preserve">(2) Die Einzelheiten des Inhalts und des Feststellungsverfahrens zu der Befähigung zum Schiffer oder Maschinisten werden in den Durchführungsrichtlinien (Traditionsschiffahrt) geregelt.</w:t>
      </w:r>
    </w:p>
    <w:p>
      <w:r>
        <w:rPr>
          <w:color w:val="555555"/>
          <w:sz w:val="17"/>
        </w:rPr>
        <w:t xml:space="preserve">Zitiervorschlag: § 9 SportSeeSchV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https://recht.nulegal.eu/gesetze/SportSeeSchV/9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SportSeeSchV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