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SportSeeSchV — Prüfungsanforderungen zum Erwerb des Sportküsten-, Sportsee- und Sporthochseeschifferscheins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zum Erwerb des Sportküstenschifferscheins soll zeigen, ob der Bewerber</w:t>
      </w:r>
    </w:p>
    <w:p>
      <w:pPr>
        <w:ind w:left="420"/>
      </w:pPr>
      <w:r>
        <w:t xml:space="preserve">1. ausreichende Kenntnisse der maßgebenden schiffahrtsrechtlichen Vorschriften und</w:t>
      </w:r>
    </w:p>
    <w:p>
      <w:pPr>
        <w:ind w:left="420"/>
      </w:pPr>
      <w:r>
        <w:t xml:space="preserve">2. die erforderlichen navigatorischen und seemännisch-technischen Kenntnisse zur sicheren Führung einer Yacht in den Küstengewässern</w:t>
      </w:r>
    </w:p>
    <w:p>
      <w:r>
        <w:t xml:space="preserve">hat und zu ihrer praktischen Anwendung fähig ist.</w:t>
      </w:r>
    </w:p>
    <w:p>
      <w:r>
        <w:t xml:space="preserve">(2) Die Prüfung zum Erwerb des Sportseeschifferscheins soll zeigen, ob der Bewerber</w:t>
      </w:r>
    </w:p>
    <w:p>
      <w:pPr>
        <w:ind w:left="420"/>
      </w:pPr>
      <w:r>
        <w:t xml:space="preserve">1. ausreichende Kenntnisse der maßgebenden schiffahrtsrechtlichen Vorschriften und</w:t>
      </w:r>
    </w:p>
    <w:p>
      <w:pPr>
        <w:ind w:left="420"/>
      </w:pPr>
      <w:r>
        <w:t xml:space="preserve">2. die erforderlichen navigatorischen und seemännisch-technischen Kenntnisse zur sicheren Führung einer Yacht in küstennahen Seegewässern</w:t>
      </w:r>
    </w:p>
    <w:p>
      <w:r>
        <w:t xml:space="preserve">hat und zu ihrer praktischen Anwendung fähig ist.</w:t>
      </w:r>
    </w:p>
    <w:p>
      <w:r>
        <w:t xml:space="preserve">(3) Die Prüfung zum Erwerb des Sporthochseeschifferscheins soll zeigen, ob der Bewerber</w:t>
      </w:r>
    </w:p>
    <w:p>
      <w:pPr>
        <w:ind w:left="420"/>
      </w:pPr>
      <w:r>
        <w:t xml:space="preserve">1. ausreichende Kenntnisse der maßgebenden schiffahrtsrechtlichen Vorschriften und</w:t>
      </w:r>
    </w:p>
    <w:p>
      <w:pPr>
        <w:ind w:left="420"/>
      </w:pPr>
      <w:r>
        <w:t xml:space="preserve">2. die erforderlichen navigatorischen und seemännisch-technischen Kenntnisse für das Führen einer Yacht in der weltweiten Fahrt</w:t>
      </w:r>
    </w:p>
    <w:p>
      <w:r>
        <w:t xml:space="preserve">hat.</w:t>
      </w:r>
    </w:p>
    <w:p>
      <w:r>
        <w:t xml:space="preserve">(4) Die Einzelheiten des Inhalts und der Durchführung der Prüfung zum Erwerb des Sportküsten-, des Sportsee- und des Sporthochseeschifferscheins werden in Durchführungsrichtlinien für den Sportküstenschifferschein und den Sportsee-/Sporthochseeschifferschein geregelt.</w:t>
      </w:r>
    </w:p>
    <w:p>
      <w:r>
        <w:rPr>
          <w:color w:val="555555"/>
          <w:sz w:val="17"/>
        </w:rPr>
        <w:t xml:space="preserve">Zitiervorschlag: § 7 SportSeeSchV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SportSeeSchV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