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SportSeeSchV — Beauftragung</w:t>
      </w:r>
    </w:p>
    <w:p>
      <w:r>
        <w:rPr>
          <w:color w:val="555555"/>
          <w:sz w:val="18"/>
        </w:rPr>
        <w:t xml:space="preserve">Sportseeschifferscheinverordnung</w:t>
      </w:r>
    </w:p>
    <w:p>
      <w:r>
        <w:rPr>
          <w:color w:val="555555"/>
          <w:sz w:val="18"/>
        </w:rPr>
        <w:t xml:space="preserve">Stand: 01.10.2021 (konsolidierte Textfassung, kein amtliches Inkrafttretensdatum)</w:t>
      </w:r>
    </w:p>
    <w:p>
      <w:r>
        <w:t xml:space="preserve">Der Deutsche Motoryachtverband e. V. und der Deutsche Segler-Verband e. V. werden beauftragt, nach Maßgabe dieser Verordnung und der zu ihrer Durchführung vom Bundesministerium für Verkehr und digitale Infrastruktur erlassenen Richtlinien über Anträge auf Zulassung zur Prüfung zum Erwerb des Sportküstenschifferscheins, des Sportseeschifferscheins und des Sporthochseeschifferscheins zu entscheiden, die Prüfungen abzunehmen, bei Bestehen der Prüfung Sportküstenschifferscheine, Sportseeschifferscheine und Sporthochseeschifferscheine nach den Mustern der Anlagen 1, 1a und 2 auszustellen, Zusatzeinträge über die Befähigung zum Führen von Traditionsschiffen oder zum Betrieb von Maschinenanlagen auf Traditionsschiffen in den Sportsee- oder Sporthochseeschifferschein vorzunehmen beziehungsweise den Befähigungsnachweis für Maschinisten auf Traditionsschiffen nach dem Muster der Anlage 3 auszustellen sowie nach einer Besonderen Gebührenverordnung des Bundesministeriums für Verkehr und digitale Infrastruktur nach § 22 Absatz 4 des Bundesgebührengesetzes Gebühren und Auslagen zu erheben. Sie unterstehen hierbei der Fachaufsicht des Bundesministeriums für Verkehr und digitale Infrastruktur, der sich bei der Fachaufsicht über die Zentrale Verwaltungsstelle bei der Durchführung der Aufgaben nach § 3 Abs. 2 der Generaldirektion Wasserstraßen und Schifffahrt bedient. Soweit die beauftragten Verbände Aufgaben nach § 13 Abs. 4a in Verbindung mit Anlage 3 der Schiffssicherheitsverordnung wahrnehmen, unterstehen sie hierbei der Fachaufsicht des Bundesministeriums für Verkehr und digitale Infrastruktur, das sich bei der Fachaufsicht über die Zentrale Verwaltungsstelle insoweit des Bundesamtes für Seeschifffahrt und Hydrographie bedient.</w:t>
      </w:r>
    </w:p>
    <w:p>
      <w:r>
        <w:rPr>
          <w:color w:val="555555"/>
          <w:sz w:val="17"/>
        </w:rPr>
        <w:t xml:space="preserve">Zitiervorschlag: § 2 SportSeeSchV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https://recht.nulegal.eu/gesetze/SportSeeSchV/2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