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SportSeeSchV</w:t>
      </w:r>
    </w:p>
    <w:p>
      <w:r>
        <w:rPr>
          <w:color w:val="555555"/>
          <w:sz w:val="18"/>
        </w:rPr>
        <w:t xml:space="preserve">Sportseeschifferscheinverordnung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(Inkrafttreten, Aufhebung von Vorschriften)</w:t>
      </w:r>
    </w:p>
    <w:p>
      <w:r>
        <w:rPr>
          <w:color w:val="555555"/>
          <w:sz w:val="17"/>
        </w:rPr>
        <w:t xml:space="preserve">Zitiervorschlag: § 17 SportSeeSchV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https://recht.nulegal.eu/gesetze/SportSeeSchV/17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