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SportSeeSchV — Übergangsregelung</w:t>
      </w:r>
    </w:p>
    <w:p>
      <w:r>
        <w:rPr>
          <w:color w:val="555555"/>
          <w:sz w:val="18"/>
        </w:rPr>
        <w:t xml:space="preserve">Sportseeschifferscheinverordnung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15a Abs. 1 Nr. 3 ist erst ab dem 1. Januar 2010 anzuwenden.</w:t>
      </w:r>
    </w:p>
    <w:p>
      <w:r>
        <w:rPr>
          <w:color w:val="555555"/>
          <w:sz w:val="17"/>
        </w:rPr>
        <w:t xml:space="preserve">Zitiervorschlag: § 16 SportSeeSchV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https://recht.nulegal.eu/gesetze/SportSeeSchV/16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