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15a SportSeeSchV — Ordnungswidrigkeiten</w:t>
      </w:r>
    </w:p>
    <w:p>
      <w:r>
        <w:rPr>
          <w:color w:val="555555"/>
          <w:sz w:val="18"/>
        </w:rPr>
        <w:t xml:space="preserve">Sportseeschifferscheinverordnung</w:t>
      </w:r>
    </w:p>
    <w:p>
      <w:r>
        <w:rPr>
          <w:color w:val="555555"/>
          <w:sz w:val="18"/>
        </w:rPr>
        <w:t xml:space="preserve">Außer Kraft: § 15a ist seit 01.10.2021 nicht mehr im SportSeeSchV enthalten. Angezeigt wird die letzte bekannte Fassung, Stand 10.06.2019.</w:t>
      </w:r>
    </w:p>
    <w:p>
      <w:r>
        <w:t xml:space="preserve">(1) Ordnungswidrig im Sinne des § 15 Abs. 1 Nr. 2 des Seeaufgabengesetzes handelt, wer vorsätzlich oder fahrlässig</w:t>
      </w:r>
    </w:p>
    <w:p>
      <w:pPr>
        <w:ind w:left="420"/>
      </w:pPr>
      <w:r>
        <w:t xml:space="preserve">1. ohne Fahrerlaubnis nach § 1 Abs. 3a Satz 1 ein Traditionsschiff führt,</w:t>
      </w:r>
    </w:p>
    <w:p>
      <w:pPr>
        <w:ind w:left="420"/>
      </w:pPr>
      <w:r>
        <w:t xml:space="preserve">2. ohne einen dort genannten Sportseeschifferschein, Sporthochseeschifferschein oder Befähigungsnachweis nach § 1 Abs. 6 als Maschinist auf Traditionsschiffen tätig ist,</w:t>
      </w:r>
    </w:p>
    <w:p>
      <w:pPr>
        <w:ind w:left="420"/>
      </w:pPr>
      <w:r>
        <w:t xml:space="preserve">3. entgegen § 1 Abs. 7 Satz 1 seine Befähigung zur Teilnahme am mobilen Seefunkdienst oder am mobilen Seefunkdienst über Satelliten nicht nachweist oder</w:t>
      </w:r>
    </w:p>
    <w:p>
      <w:pPr>
        <w:ind w:left="420"/>
      </w:pPr>
      <w:r>
        <w:t xml:space="preserve">4. entgegen § 11 Abs. 2 Satz 1 nicht dafür sorgt, dass ein Traditionsschiff die dort genannte Regelbesatzung hat.</w:t>
      </w:r>
    </w:p>
    <w:p>
      <w:r>
        <w:t xml:space="preserve">(2) Die Zuständigkeit für die Verfolgung und Ahndung von Ordnungswidrigkeiten nach Absatz 1 wird auf die Generaldirektion Wasserstraßen und Schifffahrt übertragen.</w:t>
      </w:r>
    </w:p>
    <w:p>
      <w:r>
        <w:rPr>
          <w:color w:val="555555"/>
          <w:sz w:val="17"/>
        </w:rPr>
        <w:t xml:space="preserve">Zitiervorschlag: § 15a SportSeeSchV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https://recht.nulegal.eu/gesetze/SportSeeSchV/15a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15a SportSeeSchV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