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SportSeeSchV — Verzeichnis</w:t>
      </w:r>
    </w:p>
    <w:p>
      <w:r>
        <w:rPr>
          <w:color w:val="555555"/>
          <w:sz w:val="18"/>
        </w:rPr>
        <w:t xml:space="preserve">Sportseeschifferscheinverordnung</w:t>
      </w:r>
    </w:p>
    <w:p>
      <w:r>
        <w:rPr>
          <w:color w:val="555555"/>
          <w:sz w:val="18"/>
        </w:rPr>
        <w:t xml:space="preserve">Stand: 10.06.2019 (konsolidierte Textfassung, kein amtliches Inkrafttretensdatum)</w:t>
      </w:r>
    </w:p>
    <w:p>
      <w:r>
        <w:t xml:space="preserve">(1) Die Zentrale Verwaltungsstelle führt für Zwecke der Rücknahme eines vorhandenen Sportküstenschifferscheins, Sportseeschifferscheins, Sporthochseeschifferscheins, eines Zusatzeintrages oder eines Befähigungsnachweises für Maschinisten sowie eines Funkbetriebszeugnisses im Sinne von Anlage 3 Buchstabe A Nr. 1.1 Buchstabe b Doppelbuchstabe aa und bb der Schiffssicherheitsverordnung ein einheitliches Verzeichnis der Inhaber der ausgestellten Sportküsten-, Sportsee- und Sporthochseeschifferscheine, Befähigungsnachweise für Maschinisten und Funkbetriebszeugnisse. In das Verzeichnis sind das Datum der Ausstellung des Scheins, des Zusatzeintrages, des Befähigungsnachweises oder des Funkbetriebszeugnisses, Name, Geburtsdatum und Geburtsort des Inhabers, in den Fällen des § 12 Abs. 1 und 2 sowie der Anlage 3 Buchstabe B Nr. 3 der Schiffssicherheitsverordnung das Datum der Ausstellung einer Ersatzausfertigung, in den Fällen der Rücknahme eines Sportküsten-, Sportsee- und Sporthochseeschifferscheins oder eines Funkbetriebszeugnisses nach § 13 Abs. 1 und 3 die Ablieferung des jeweiligen Scheins oder Zeugnisses einzutragen.</w:t>
      </w:r>
    </w:p>
    <w:p>
      <w:r>
        <w:t xml:space="preserve">(2) Auskünfte aus dem Verzeichnis dürfen nur an Gerichte und Strafverfolgungsbehörden für Zwecke der Verfolgung von Straftaten oder an Seeämter für Zwecke der Seeunfalluntersuchung erteilt werden.</w:t>
      </w:r>
    </w:p>
    <w:p>
      <w:r>
        <w:rPr>
          <w:color w:val="555555"/>
          <w:sz w:val="17"/>
        </w:rPr>
        <w:t xml:space="preserve">Zitiervorschlag: § 14 SportSeeSchV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https://recht.nulegal.eu/gesetze/SportSeeSchV/14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