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SportSeeSchV — Grundsätze für die Besetzung von Traditionsschiffen</w:t>
      </w:r>
    </w:p>
    <w:p>
      <w:r>
        <w:rPr>
          <w:color w:val="555555"/>
          <w:sz w:val="18"/>
        </w:rPr>
        <w:t xml:space="preserve">Sportseeschifferscheinverordnung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Besetzung der Traditionsschiffe richtet sich nach folgenden Grundsätzen:</w:t>
      </w:r>
    </w:p>
    <w:p>
      <w:pPr>
        <w:ind w:left="420"/>
      </w:pPr>
      <w:r>
        <w:t xml:space="preserve">1. Für die Besetzung mit nautischem und technischem Führungspersonal, mit Funkpersonal und mit Schiffsleuten ist der Eigner beziehungsweise Betreiber verantwortlich; sie muß einen sicheren Schiffsbetrieb gewährleisten;</w:t>
      </w:r>
    </w:p>
    <w:p>
      <w:pPr>
        <w:ind w:left="420"/>
      </w:pPr>
      <w:r>
        <w:t xml:space="preserve">2. die Besatzungsmitglieder müssen im Besitz des geforderten Befähigungsnachweises sein oder, falls für bestimmte Besatzungsmitglieder keine Befähigungsnachweise gefordert werden, über ausreichende praktische Erfahrungen verfügen;</w:t>
      </w:r>
    </w:p>
    <w:p>
      <w:pPr>
        <w:ind w:left="420"/>
      </w:pPr>
      <w:r>
        <w:t xml:space="preserve">3. die Entscheidung über die Eignung des jeweiligen Führungspersonals auf seinem Schiff hat der Eigner beziehungsweise Betreiber zu treffen;</w:t>
      </w:r>
    </w:p>
    <w:p>
      <w:pPr>
        <w:ind w:left="420"/>
      </w:pPr>
      <w:r>
        <w:t xml:space="preserve">4. für die Durchführung des Funkdienstes muß mindestens ein Inhaber eines Seefunkzeugnisses entsprechend der vorhandenen Funkausrüstung an Bord sein und</w:t>
      </w:r>
    </w:p>
    <w:p>
      <w:pPr>
        <w:ind w:left="420"/>
      </w:pPr>
      <w:r>
        <w:t xml:space="preserve">5. die Festlegung der ausreichenden Anzahl und der Eignung der Schiffsleute auf seinem Schiff hat der Eigner beziehungsweise Betreiber unter Berücksichtigung der Betriebsorganisation und des beabsichtigten Reiseverlaufs zu treffen.</w:t>
      </w:r>
    </w:p>
    <w:p>
      <w:r>
        <w:t xml:space="preserve">(2) Der Eigner und der Betreiber eines Traditionsschiffs müssen dafür sorgen, dass das Traditionsschiff entsprechend seiner Rumpflänge, der Anzahl der Personen an Bord und des Fahrtbereichs mindestens die sich aus Anlage 4 Nr. 4 ergebende Regelbesatzung hat. Den in dieser Anlage vorgeschriebenen Befähigungsnachweisen stehen die Befähigungszeugnisse für die Berufsschifffahrt nach der Schiffsoffizier-Ausbildungsverordnung für den jeweiligen Geltungsbereich gleich.</w:t>
      </w:r>
    </w:p>
    <w:p>
      <w:r>
        <w:t xml:space="preserve">(3) Die Zentrale Verwaltungsstelle kann auf Antrag im Einzelfall eine Ausnahme von Absatz 2 Satz 1 erteilen, wenn eine mit der Regelbesatzung vergleichbare Sicherheit gewährleistet ist.</w:t>
      </w:r>
    </w:p>
    <w:p>
      <w:r>
        <w:rPr>
          <w:color w:val="555555"/>
          <w:sz w:val="17"/>
        </w:rPr>
        <w:t xml:space="preserve">Zitiervorschlag: § 11 SportSeeSchV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https://recht.nulegal.eu/gesetze/SportSeeSchV/11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SportSeeSchV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