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SportFortbV — Wirtschaftsbezogene Qualifikationen</w:t>
      </w:r>
    </w:p>
    <w:p>
      <w:r>
        <w:rPr>
          <w:color w:val="555555"/>
          <w:sz w:val="18"/>
        </w:rPr>
        <w:t xml:space="preserve">Verordnung über die Prüfung zum anerkannten Fortbildungsabschluss Geprüfter Sportfachwirt und Geprüfte Sportfachwirtin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folgende Qualifikationsinhalte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gehören insbesondere, die bilanziellen Zusammenhänge sowie die Kostenrechnung in Grundzügen erläutern und anwenden zu können. Außerdem sollen erarbeitete Kennzahlen für eine Aussage über die Unternehmenssituation ausgewertet werden können. In diesem Rahmen können folgende Qualifikationsinhalte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Kennzahlen,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folgende Qualifikationsinhalte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folgende Qualifikationsinhalte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r>
        <w:rPr>
          <w:rFonts w:ascii="Courier New" w:hAnsi="Courier New"/>
          <w:sz w:val="17"/>
        </w:rPr>
        <w:t xml:space="preserve">1.    Volks- und Betriebswirtschaft    60 Minuten,</w:t>
      </w:r>
    </w:p>
    <w:p>
      <w:r>
        <w:rPr>
          <w:rFonts w:ascii="Courier New" w:hAnsi="Courier New"/>
          <w:sz w:val="17"/>
        </w:rPr>
        <w:t xml:space="preserve">2.    Rechnungswesen    90 Minuten,</w:t>
      </w:r>
    </w:p>
    <w:p>
      <w:r>
        <w:rPr>
          <w:rFonts w:ascii="Courier New" w:hAnsi="Courier New"/>
          <w:sz w:val="17"/>
        </w:rPr>
        <w:t xml:space="preserve">3.    Recht und Steuern    60 Minuten,</w:t>
      </w:r>
    </w:p>
    <w:p>
      <w:r>
        <w:rPr>
          <w:rFonts w:ascii="Courier New" w:hAnsi="Courier New"/>
          <w:sz w:val="17"/>
        </w:rPr>
        <w:t xml:space="preserve">4.    Unternehmensführung    90 Minuten.</w:t>
      </w:r>
    </w:p>
    <w:p>
      <w:r>
        <w:t xml:space="preserve">Die Gesamtdauer soll jedoch 330 Minuten nicht überschreiten.</w:t>
      </w:r>
    </w:p>
    <w:p>
      <w:r>
        <w:t xml:space="preserve">(6) Wurden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15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