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SpkWBV (Brandenburg) — Wahlausschreiben</w:t>
      </w:r>
    </w:p>
    <w:p>
      <w:r>
        <w:rPr>
          <w:color w:val="555555"/>
          <w:sz w:val="18"/>
        </w:rPr>
        <w:t xml:space="preserve">Sparkassenwahlverordnung Beschäftigte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Wahlvorstand erlässt spätestens sechs Wochen vor dem Wahltag ein Wahlausschreiben. Es ist von sämtlichen, im Ausnahmefall von mindestens zwei Mitgliedern des Wahlvorstandes zu unterzeichnen. Die Unterschrift kann auch elektronisch erfolgen.</w:t>
      </w:r>
    </w:p>
    <w:p>
      <w:r>
        <w:t xml:space="preserve">(2) Das Wahlausschreiben muss folgende Angaben enthalten:</w:t>
      </w:r>
    </w:p>
    <w:p>
      <w:r>
        <w:t xml:space="preserve">den Ort und den Tag seines Erlasses,</w:t>
      </w:r>
    </w:p>
    <w:p>
      <w:r>
        <w:t xml:space="preserve">den Ort, den Tag und die Zeit der Wahl,</w:t>
      </w:r>
    </w:p>
    <w:p>
      <w:r>
        <w:t xml:space="preserve">die Zahl der zu wählenden Vertreter der Beschäftigten,</w:t>
      </w:r>
    </w:p>
    <w:p>
      <w:r>
        <w:t xml:space="preserve">wo und wann das Wählerverzeichnis oder Abschriften des Wählerverzeichnisses, das Brandenburgische Sparkassengesetz, das Landespersonalvertretungsgesetz, die Wahlordnung zum Landespersonalvertretungsgesetz, diese Verordnung und die Satzung der Sparkasse zur Einsichtnahme ausliegen,</w:t>
      </w:r>
    </w:p>
    <w:p>
      <w:r>
        <w:t xml:space="preserve">den Hinweis, dass nur Beschäftigte wählen können, die in das Wählerverzeichnis eingetragen sind,</w:t>
      </w:r>
    </w:p>
    <w:p>
      <w:r>
        <w:t xml:space="preserve">den Hinweis, dass Einsprüche gegen das Wählerverzeichnis nur innerhalb der Bekanntmachungsfrist schriftlich oder elektronisch beim Wahlvorstand eingelegt werden können; Tag und Uhrzeit des Ablaufs der Einspruchsfrist sind anzugeben,</w:t>
      </w:r>
    </w:p>
    <w:p>
      <w:r>
        <w:t xml:space="preserve">die Aufforderung, Wahlvorschläge innerhalb von zwölf Arbeitstagen nach dem Erlass des Wahlausschreibens beim Wahlvorstand einzureichen; Tag und Uhrzeit des Ablaufs der Einreichungsfrist sind anzugeben,</w:t>
      </w:r>
    </w:p>
    <w:p>
      <w:r>
        <w:t xml:space="preserve">einen Hinweis auf Form und Inhalt der Wahlvorschläge,</w:t>
      </w:r>
    </w:p>
    <w:p>
      <w:r>
        <w:t xml:space="preserve">den Hinweis, dass nur rechtzeitig eingereichte Wahlvorschläge berücksichtigt werden und dass nur gewählt werden kann, wer in einen öffentlich bekannt gemachten Wahlvorschlag aufgenommen ist,</w:t>
      </w:r>
    </w:p>
    <w:p>
      <w:r>
        <w:t xml:space="preserve">den Ort, an dem die Wahlvorschläge bekannt gegeben werden,</w:t>
      </w:r>
    </w:p>
    <w:p>
      <w:r>
        <w:t xml:space="preserve">einen Hinweis auf die Möglichkeit der Briefwahl im Falle der Verhinderung und</w:t>
      </w:r>
    </w:p>
    <w:p>
      <w:r>
        <w:t xml:space="preserve">den Ort und die Zeit der Stimmenauszählung und der Sitzung des Wahlvorstandes, in der das Wahlergebnis abschließend festgestellt wird.</w:t>
      </w:r>
    </w:p>
    <w:p>
      <w:r>
        <w:t xml:space="preserve">(3) Der Wahlvorstand gibt den Beschäftigten das Wahlausschreiben am Tag seines Erlasses durch Aushang, Auslegung, Übersendung oder in sonstiger geeigneter Weise bekannt. Die Veröffentlichung erfolgt bis zur Bekanntmachung des Wahlergebnisses.</w:t>
      </w:r>
    </w:p>
    <w:p>
      <w:r>
        <w:t xml:space="preserve">(4) Offenbare Unrichtigkeiten des Wahlausschreibens können vom Wahlvorstand jederzeit berichtigt werden.</w:t>
      </w:r>
    </w:p>
    <w:p>
      <w:r>
        <w:t xml:space="preserve">(5) Mit dem Erlass des Wahlausschreibens ist die Wahl eingeleitet.</w:t>
      </w:r>
    </w:p>
    <w:p>
      <w:r>
        <w:rPr>
          <w:color w:val="555555"/>
          <w:sz w:val="17"/>
        </w:rPr>
        <w:t xml:space="preserve">Zitiervorschlag: § 5 SpkWBV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https://recht.nulegal.eu/gesetze/SpkWBV/5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