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SpkWBV (Brandenburg) — Wählbarkeit</w:t>
      </w:r>
    </w:p>
    <w:p>
      <w:r>
        <w:rPr>
          <w:color w:val="555555"/>
          <w:sz w:val="18"/>
        </w:rPr>
        <w:t xml:space="preserve">Sparkassenwahlverordnung Beschäftigte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Wählbar sind Beschäftigte der Sparkasse, die am Wahltag die Wählbarkeitsvoraussetzungen zum Personalrat der Sparkasse erfüllen.</w:t>
      </w:r>
    </w:p>
    <w:p>
      <w:r>
        <w:t xml:space="preserve">(2) Nicht wählbar sind Mitglieder, stellvertretende Mitglieder und Verhinderungsvertreter des Vorstandes der Sparkasse.</w:t>
      </w:r>
    </w:p>
    <w:p>
      <w:r>
        <w:t xml:space="preserve">Abschnitt 2</w:t>
      </w:r>
    </w:p>
    <w:p>
      <w:r>
        <w:t xml:space="preserve">Regelmäßige Wahlen</w:t>
      </w:r>
    </w:p>
    <w:p>
      <w:r>
        <w:rPr>
          <w:color w:val="555555"/>
          <w:sz w:val="17"/>
        </w:rPr>
        <w:t xml:space="preserve">Zitiervorschlag: § 2 SpkWBV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https://recht.nulegal.eu/gesetze/SpkWBV/2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