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SpkWBV (Brandenburg) — Inkrafttreten, Außerkrafttreten</w:t>
      </w:r>
    </w:p>
    <w:p>
      <w:r>
        <w:rPr>
          <w:color w:val="555555"/>
          <w:sz w:val="18"/>
        </w:rPr>
        <w:t xml:space="preserve">Sparkassenwahlverordnung Beschäftigte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Tage nach der Verkündung in Kraft. Gleichzeitig tritt die Sparkassenwahlverordnung Beschäftigte vom 3. August 1998 (GVBl. II S. 534) außer Kraft.</w:t>
      </w:r>
    </w:p>
    <w:p>
      <w:r>
        <w:t xml:space="preserve">Potsdam, den 3. Juni 2008</w:t>
      </w:r>
    </w:p>
    <w:p>
      <w:r>
        <w:t xml:space="preserve">Der Minister der Finanzen</w:t>
      </w:r>
    </w:p>
    <w:p>
      <w:r>
        <w:t xml:space="preserve">Rainer Speer</w:t>
      </w:r>
    </w:p>
    <w:p>
      <w:r>
        <w:rPr>
          <w:color w:val="555555"/>
          <w:sz w:val="17"/>
        </w:rPr>
        <w:t xml:space="preserve">Zitiervorschlag: § 19 SpkWBV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https://recht.nulegal.eu/gesetze/SpkWBV/19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