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SpkWBV (Brandenburg) — Abschluss des Wahlverfahrens</w:t>
      </w:r>
    </w:p>
    <w:p>
      <w:r>
        <w:rPr>
          <w:color w:val="555555"/>
          <w:sz w:val="18"/>
        </w:rPr>
        <w:t xml:space="preserve">Sparkassenwahlverordnung Beschäftigte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Wahl ist mit Ablauf der Anfechtungsfrist, im Falle der Anfechtung mit dem rechtskräftigen Abschluss des Anfechtungsverfahrens, durchgeführt.</w:t>
      </w:r>
    </w:p>
    <w:p>
      <w:r>
        <w:t xml:space="preserve">Abschnitt 3</w:t>
      </w:r>
    </w:p>
    <w:p>
      <w:r>
        <w:t xml:space="preserve">Wahlen in besonderen Fällen</w:t>
      </w:r>
    </w:p>
    <w:p>
      <w:r>
        <w:rPr>
          <w:color w:val="555555"/>
          <w:sz w:val="17"/>
        </w:rPr>
        <w:t xml:space="preserve">Zitiervorschlag: § 14 SpkWBV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https://recht.nulegal.eu/gesetze/SpkWBV/14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