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SpkWBV (Brandenburg) — Aufbewahrung und Vernichtung der Wahlunterlagen</w:t>
      </w:r>
    </w:p>
    <w:p>
      <w:r>
        <w:rPr>
          <w:color w:val="555555"/>
          <w:sz w:val="18"/>
        </w:rPr>
        <w:t xml:space="preserve">Sparkassenwahlverordnung Beschäftigte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Niederschriften des Wahlvorstandes mit den Anlagen sind vom Personalrat bis zum Ablauf der Amtszeit der Gewählten aufzubewahren. Im Falle des § 3 Abs. 2 tritt an die Stelle des Personalrats der Vorstand der Sparkasse.</w:t>
      </w:r>
    </w:p>
    <w:p>
      <w:r>
        <w:t xml:space="preserve">(2) Andere Wahlunterlagen, insbesondere die Wählerverzeichnisse und die Unterstützungsunterschriften für Wahlvorschläge, sind nach der Durchführung der Wahl zu vernichten; gleichzeitig sind in diesem Zusammenhang gespeicherte Daten zu löschen.</w:t>
      </w:r>
    </w:p>
    <w:p>
      <w:r>
        <w:rPr>
          <w:color w:val="555555"/>
          <w:sz w:val="17"/>
        </w:rPr>
        <w:t xml:space="preserve">Zitiervorschlag: § 13 SpkWBV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https://recht.nulegal.eu/gesetze/SpkWBV/13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