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SpkV (Brandenburg) — Anlage in Grundstücken und grundstücksgleichen Rechten</w:t>
      </w:r>
    </w:p>
    <w:p>
      <w:r>
        <w:rPr>
          <w:color w:val="555555"/>
          <w:sz w:val="18"/>
        </w:rPr>
        <w:t xml:space="preserve">Sparkassenverordnung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Sparkasse kann ihre Mittel in Grundstücken, grundstücksgleichen Rechten, Wohnungseigentum oder Teileigentum im Geschäftsgebiet anlegen, die</w:t>
      </w:r>
    </w:p>
    <w:p>
      <w:r>
        <w:t xml:space="preserve">ganz oder teilweise dem Geschäftsbetrieb dienen,</w:t>
      </w:r>
    </w:p>
    <w:p>
      <w:r>
        <w:t xml:space="preserve">ausschließlich oder überwiegend Wohnzwecken dienen oder</w:t>
      </w:r>
    </w:p>
    <w:p>
      <w:r>
        <w:t xml:space="preserve">freihändig oder im Wege der Zwangsversteigerung zur Vermeidung von Verlusten – auch außerhalb des Geschäftsgebietes – erworben werden.</w:t>
      </w:r>
    </w:p>
    <w:p>
      <w:r>
        <w:t xml:space="preserve">Unbebaute Grundstücke können erworben werden, wenn dies zur Bebauung nach Satz 1 Nummer 1 oder 2 oder zur Vermeidung von Verlusten nach Satz 1 Nummer 3 dienen soll. Die Sparkasse kann sich zur Durchführung dieser Geschäfte an Einrichtungen anderer Sparkassen oder der Sparkassen-Finanzgruppe beteiligen oder eigene Gesellschaften gründen.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SpkV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