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SpkV (Brandenburg) — Beteiligungen</w:t>
      </w:r>
    </w:p>
    <w:p>
      <w:r>
        <w:rPr>
          <w:color w:val="555555"/>
          <w:sz w:val="18"/>
        </w:rPr>
        <w:t xml:space="preserve">Sparkassenverordnung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Sparkasse kann ihre Mittel in Beteiligungen an</w:t>
      </w:r>
    </w:p>
    <w:p>
      <w:r>
        <w:t xml:space="preserve">inländischen Einrichtungen der Sparkassenorganisation,</w:t>
      </w:r>
    </w:p>
    <w:p>
      <w:r>
        <w:t xml:space="preserve">Wohnungsbauunternehmen im Geschäftsgebiet, an denen Gebietskörperschaften beteiligt sind,</w:t>
      </w:r>
    </w:p>
    <w:p>
      <w:r>
        <w:t xml:space="preserve">Unternehmen, die dem gewöhnlichen Geschäftsbetrieb der Sparkasse dienen,</w:t>
      </w:r>
    </w:p>
    <w:p>
      <w:r>
        <w:t xml:space="preserve">anlegen.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SpkV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