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SpkV (Brandenburg) — Verpflichtung zur Führung von Girokonten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Sparkasse ist verpflichtet, für natürliche Personen mit Wohnsitz im Geschäftsgebiet auf Antrag Girokonten zur Entgegennahme von Einlagen zu führen.</w:t>
      </w:r>
    </w:p>
    <w:p>
      <w:r>
        <w:t xml:space="preserve">(2) Eine Verpflichtung zur Führung eines Girokontos besteht nicht, wenn</w:t>
      </w:r>
    </w:p>
    <w:p>
      <w:r>
        <w:t xml:space="preserve">die Kontoinhaberin oder der Kontoinhaber Leistungen bei Kreditinstituten missbraucht hat,</w:t>
      </w:r>
    </w:p>
    <w:p>
      <w:r>
        <w:t xml:space="preserve">das Konto ein Jahr lang umsatzlos geführt wurde,</w:t>
      </w:r>
    </w:p>
    <w:p>
      <w:r>
        <w:t xml:space="preserve">das Konto keine Guthaben aufweist und die Kontoinhaberin oder der Kontoinhaber trotz Aufforderung nicht für Guthaben sorgt,</w:t>
      </w:r>
    </w:p>
    <w:p>
      <w:r>
        <w:t xml:space="preserve">aus anderen wichtigen Gründen die Aufnahme oder Fortsetzung der Geschäftsbeziehung mit der Sparkasse nicht zumutbar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