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SpkV (Brandenburg) — Verbundprinzip</w:t>
      </w:r>
    </w:p>
    <w:p>
      <w:r>
        <w:rPr>
          <w:color w:val="555555"/>
          <w:sz w:val="18"/>
        </w:rPr>
        <w:t xml:space="preserve">Sparkassenverordnung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Sparkassen sollen als Teil der Sparkassen-Finanzgruppe vorrangig Produkte und Dienstleistungen der Unternehmen und Einrichtungen der Sparkassen-Finanzgruppe anbieten.</w:t>
      </w:r>
    </w:p>
    <w:p>
      <w:r>
        <w:t xml:space="preserve">(2) Die Zusammenarbeit mit anderen Geschäftspartnern soll das Verbundprinzip nicht beeinträchtigen.</w:t>
      </w:r>
    </w:p>
    <w:p>
      <w:r>
        <w:t xml:space="preserve">(3) Verträge zur Vermögensverwaltung sowie zur Eigenanlage in der Form von Spezialfonds sollen bei Unternehmen der Sparkassen-Finanzgruppe im Sinne von Absatz 1 abgeschlossen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SpkV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