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SpkV (Brandenburg) — Regionalprinzip</w:t>
      </w:r>
    </w:p>
    <w:p>
      <w:r>
        <w:rPr>
          <w:color w:val="555555"/>
          <w:sz w:val="18"/>
        </w:rPr>
        <w:t xml:space="preserve">Sparkassenverordnung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Geschäftsgebiet der Sparkasse ist das Gebiet ihres Trägers. Nach § 5 Absatz 2 des Brandenburgischen Sparkassengesetzes sind folgende Ausnahmen zulässig:</w:t>
      </w:r>
    </w:p>
    <w:p>
      <w:r>
        <w:t xml:space="preserve">Geschäfte nach § 9,</w:t>
      </w:r>
    </w:p>
    <w:p>
      <w:r>
        <w:t xml:space="preserve">Kredite an ein Institut mit Sitz in einem Staat des Europäischen Wirtschaftsraumes oder einem Vollmitgliedstaat der Organisation für wirtschaftliche Zusammenarbeit und Entwicklung,</w:t>
      </w:r>
    </w:p>
    <w:p>
      <w:r>
        <w:t xml:space="preserve">Kredite an Institute für die Abwicklung von Finanzdienstleistungen im Rahmen des Außenwirtschaftsverkehrs.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SpkV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