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SpkV (Brandenburg) — Kreditbegriff, Bemessungsgrundlage</w:t>
      </w:r>
    </w:p>
    <w:p>
      <w:r>
        <w:rPr>
          <w:color w:val="555555"/>
          <w:sz w:val="18"/>
        </w:rPr>
        <w:t xml:space="preserve">Sparkassenverordnung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Kredite im Sinne dieser Verordnung sind alle Geschäfte, die dem Kreditbegriff im Sinne des Kreditwesengesetzes unterfallen.</w:t>
      </w:r>
    </w:p>
    <w:p>
      <w:r>
        <w:t xml:space="preserve">(2) Bemessungsgrundlage sind die aufsichtsrechtlich anrechenbaren Eigenmittel.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SpkV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