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SpkV (Brandenburg) — Inkrafttreten, Außerkrafttreten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Sparkassenverordnung vom 5. April 2006 (GVBl. II S. 88) außer Kraft.</w:t>
      </w:r>
    </w:p>
    <w:p>
      <w:r>
        <w:t xml:space="preserve">Einzelnorm</w:t>
      </w:r>
    </w:p>
    <w:p>
      <w:r>
        <w:t xml:space="preserve">Potsdam, den 24. August 2015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13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