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SpkV (Brandenburg) — Kreditausschuss</w:t>
      </w:r>
    </w:p>
    <w:p>
      <w:r>
        <w:rPr>
          <w:color w:val="555555"/>
          <w:sz w:val="18"/>
        </w:rPr>
        <w:t xml:space="preserve">Sparkassenverordnung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Kreditausschuss ist für die Zustimmung zu folgenden Krediten zuständig:</w:t>
      </w:r>
    </w:p>
    <w:p>
      <w:r>
        <w:t xml:space="preserve">Realkredite, soweit der Kredit im Einzelfall 5 Prozent der Bemessungsgrundlage übersteigt,</w:t>
      </w:r>
    </w:p>
    <w:p>
      <w:r>
        <w:t xml:space="preserve">Kredite, die nicht unter Nummer 1 fallen, soweit der Kredit an einen Kreditnehmer, der aus einer Gruppe verbundener Kunden besteht, 5 Prozent der Bemessungsgrundlage übersteigt.</w:t>
      </w:r>
    </w:p>
    <w:p>
      <w:r>
        <w:t xml:space="preserve">Hiervon ausgenommen sind: a)</w:t>
      </w:r>
    </w:p>
    <w:p>
      <w:r>
        <w:t xml:space="preserve">Beteiligungen der Sparkassen nach § 7,</w:t>
      </w:r>
    </w:p>
    <w:p>
      <w:r>
        <w:t xml:space="preserve">b)</w:t>
      </w:r>
    </w:p>
    <w:p>
      <w:r>
        <w:t xml:space="preserve">Anlagen nach § 9,</w:t>
      </w:r>
    </w:p>
    <w:p>
      <w:r>
        <w:t xml:space="preserve">c)</w:t>
      </w:r>
    </w:p>
    <w:p>
      <w:r>
        <w:t xml:space="preserve">Kredite an inländische Körperschaften oder Anstalten des öffentlichen Rechts,</w:t>
      </w:r>
    </w:p>
    <w:p>
      <w:r>
        <w:t xml:space="preserve">d)</w:t>
      </w:r>
    </w:p>
    <w:p>
      <w:r>
        <w:t xml:space="preserve">Kredite an Kreditinstitute mit Sitz in einem Land der in § 3 Satz 2 Nummer 2 genannten Staaten,</w:t>
      </w:r>
    </w:p>
    <w:p>
      <w:r>
        <w:t xml:space="preserve">e)</w:t>
      </w:r>
    </w:p>
    <w:p>
      <w:r>
        <w:t xml:space="preserve">Kredite aa)</w:t>
      </w:r>
    </w:p>
    <w:p>
      <w:r>
        <w:t xml:space="preserve">gegen Guthaben bei Kreditinstituten, die einer Sicherungseinrichtung der deutschen Kreditwirtschaft angehören, sowie bei Bausparkassen im Inland,</w:t>
      </w:r>
    </w:p>
    <w:p>
      <w:r>
        <w:t xml:space="preserve">bb)</w:t>
      </w:r>
    </w:p>
    <w:p>
      <w:r>
        <w:t xml:space="preserve">im Rahmen zentraler Kreditaktionen öffentlicher Stellen, soweit die Sparkasse haftungsfreigestellt ist,</w:t>
      </w:r>
    </w:p>
    <w:p>
      <w:r>
        <w:t xml:space="preserve">cc)</w:t>
      </w:r>
    </w:p>
    <w:p>
      <w:r>
        <w:t xml:space="preserve">gegen Bürgschaft, Garantie oder sonstige Gewährleistungen einer inländischen Körperschaft oder Anstalt des öffentlichen Rechts.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11 SpkV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