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SpkV (Brandenburg) — Grundsatz</w:t>
      </w:r>
    </w:p>
    <w:p>
      <w:r>
        <w:rPr>
          <w:color w:val="555555"/>
          <w:sz w:val="18"/>
        </w:rPr>
        <w:t xml:space="preserve">Sparkassenverordnung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Sparkassen dürfen alle banküblichen Geschäfte betreiben, soweit das Brandenburgische Sparkassengesetz oder die nachfolgenden Bestimmungen keine Einschränkungen vorsehen.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SpkV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