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SpkO (Bayern) — Kreditgeschäft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Sparkasse darf Kredite gegen Sicherheiten (gesicherte Kredite) und Kredite ohne Sicherheiten als Blankokredite oder Körperschaftskredite geben.</w:t>
      </w:r>
    </w:p>
    <w:p>
      <w:r>
        <w:t xml:space="preserve">(2) Für die Anerkennung und Bewertung von Kreditsicherheiten sind die mit Zustimmung des Staatsministeriums des Innern, für Sport und Integration (Staatsministerium) vom Sparkassenverband Bayern im Bayerischen Staatsanzeiger bekannt gemachten Sicherungsgrundsätze maßgebend.</w:t>
      </w:r>
    </w:p>
    <w:p>
      <w:r>
        <w:rPr>
          <w:color w:val="555555"/>
          <w:sz w:val="17"/>
        </w:rPr>
        <w:t xml:space="preserve">Zitiervorschlag: § 7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