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SpkO (Bayern) — Kontrahierungspflichten</w:t>
      </w:r>
    </w:p>
    <w:p>
      <w:r>
        <w:rPr>
          <w:color w:val="555555"/>
          <w:sz w:val="18"/>
        </w:rPr>
        <w:t xml:space="preserve">Sparkassenordnung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Sparkasse nimmt von jedermann Spareinlagen und andere Einlagen entgegen.</w:t>
      </w:r>
    </w:p>
    <w:p>
      <w:r>
        <w:t xml:space="preserve">(2) Die Sparkasse führt für natürliche Personen aus ihrem Geschäftsbezirk auf Antrag Girokonten auf Guthabenbasis.</w:t>
      </w:r>
    </w:p>
    <w:p>
      <w:r>
        <w:t xml:space="preserve">(3) Einlagen müssen nicht entgegengenommen und Girokonten müssen nicht geführt werden, wenn das der Sparkasse im Einzelfall aus wichtigem Grund nicht zuzumuten ist.</w:t>
      </w:r>
    </w:p>
    <w:p>
      <w:r>
        <w:rPr>
          <w:color w:val="555555"/>
          <w:sz w:val="17"/>
        </w:rPr>
        <w:t xml:space="preserve">Zitiervorschlag: § 5 SpkO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