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SpkO (Bayern) — Verbund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Sparkassen sowie der Sparkassenverband Bayern, die Bayerische Landesbank (Landesbank) und die Versicherungskammer Bayern mit ihren verbundenen Unternehmen und Einrichtungen (Sparkassen-Finanzgruppe Bayern) fördern einander im Rahmen ihrer Aufgaben gegenseitig.</w:t>
      </w:r>
    </w:p>
    <w:p>
      <w:r>
        <w:t xml:space="preserve">(2) Die Sparkassen legen liquide Mittel zu marktgerechten Sätzen vorrangig bei der Landesbank an; sie nehmen Mittel, die sie zur Sicherung ihrer Liquidität benötigen, vorrangig bei ihr zu marktgerechten Sätzen auf.</w:t>
      </w:r>
    </w:p>
    <w:p>
      <w:r>
        <w:t xml:space="preserve">(3) Die Sparkassen bieten Produkte und Dienstleistungen der Sparkassen-Finanzgruppe Bayern sowie der weiteren Unternehmen und Einrichtungen, die Aufgaben für alle Sparkassen in Deutschland wahrnehmen (Sparkassen-Finanzgruppe), an.</w:t>
      </w:r>
    </w:p>
    <w:p>
      <w:r>
        <w:t xml:space="preserve">(4) Die Zusammenarbeit der Sparkassen mit anderen Geschäftspartnern darf den Verbund nicht beeinträchtigen.</w:t>
      </w:r>
    </w:p>
    <w:p>
      <w:r>
        <w:rPr>
          <w:color w:val="555555"/>
          <w:sz w:val="17"/>
        </w:rPr>
        <w:t xml:space="preserve">Zitiervorschlag: § 3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