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SpkO (Bayern) — Inkrafttreten, Außerkrafttreten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Juni 2007 in Kraft.</w:t>
      </w:r>
    </w:p>
    <w:p>
      <w:r>
        <w:t xml:space="preserve">(2) Mit Ablauf des 31. Mai 2007 tritt die Verordnung über die Organisation und den Geschäftsbetrieb der Sparkassen (Sparkassenordnung – SpkO –) vom 1. Dezember 1997 (GVBl S. 816, BayRS 2025-1-1-I), geändert durch Verordnung vom 24. September 2003 (GVBl S. 789), außer Kraft.</w:t>
      </w:r>
    </w:p>
    <w:p>
      <w:r>
        <w:rPr>
          <w:color w:val="555555"/>
          <w:sz w:val="17"/>
        </w:rPr>
        <w:t xml:space="preserve">Zitiervorschlag: § 23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