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SpkO (Bayern) — Rechnungswesen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Geschäftsjahr ist das Kalenderjahr.</w:t>
      </w:r>
    </w:p>
    <w:p>
      <w:r>
        <w:t xml:space="preserve">(2) Zu Beginn des Geschäftsjahres stellt der Verwaltungsrat den Voranschlag der Handlungskosten und die Übersicht über die geplanten Investitionen (Investitionsplan), die ihm vom Vorstand vorgelegt werden, fest.</w:t>
      </w:r>
    </w:p>
    <w:p>
      <w:r>
        <w:t xml:space="preserve">(3) Nach Ablauf des Geschäftsjahres legt der Vorstand dem Verwaltungsrat den Jahresabschluss (Bilanz, Gewinn- und Verlustrechnung, Anhang) und den Lagebericht vor. Nach Erteilung des Bestätigungsvermerks durch die Prüfungsstelle des Sparkassenverbands Bayern wird der Jahresabschluss vom Verwaltungsrat festgestellt und mit dem Lagebericht dem Träger vorgelegt.</w:t>
      </w:r>
    </w:p>
    <w:p>
      <w:r>
        <w:rPr>
          <w:color w:val="555555"/>
          <w:sz w:val="17"/>
        </w:rPr>
        <w:t xml:space="preserve">Zitiervorschlag: § 20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