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SpkO (Bayern) — Rechte und Pflichten der Mitglieder des Verwaltungsrats</w:t>
      </w:r>
    </w:p>
    <w:p>
      <w:r>
        <w:rPr>
          <w:color w:val="555555"/>
          <w:sz w:val="18"/>
        </w:rPr>
        <w:t xml:space="preserve">Sparkassenordnung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Mitglieder des Verwaltungsrats haben die Belange der Sparkasse zu wahren und zu fördern. Neben ihren sonstigen Amtspflichten haben sie die Sorgfalt eines ordentlichen Kaufmanns zu beachten.</w:t>
      </w:r>
    </w:p>
    <w:p>
      <w:r>
        <w:t xml:space="preserve">(2) Die Mitglieder des Verwaltungsrats haben Anspruch auf angemessene Entschädigung. Gewinnbeteiligungen dürfen ihnen nicht gewährt werden.</w:t>
      </w:r>
    </w:p>
    <w:p>
      <w:r>
        <w:rPr>
          <w:color w:val="555555"/>
          <w:sz w:val="17"/>
        </w:rPr>
        <w:t xml:space="preserve">Zitiervorschlag: § 12 SpkO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https://recht.nulegal.eu/gesetze/SpkO/12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