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SpkG (Bayern) — Vorsitzender des Verwaltungsrats</w:t>
      </w:r>
    </w:p>
    <w:p>
      <w:r>
        <w:rPr>
          <w:color w:val="555555"/>
          <w:sz w:val="18"/>
        </w:rPr>
        <w:t xml:space="preserve">Sparkassengesetz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Vorsitzender des Verwaltungsrats ist</w:t>
      </w:r>
    </w:p>
    <w:p>
      <w:r>
        <w:t xml:space="preserve">a) bei den von Gemeinden errichteten Sparkassen der Bürgermeister,</w:t>
      </w:r>
    </w:p>
    <w:p>
      <w:r>
        <w:t xml:space="preserve">b) bei den von Landkreisen errichteten Sparkassen der Landrat,</w:t>
      </w:r>
    </w:p>
    <w:p>
      <w:r>
        <w:t xml:space="preserve">c) bei den von Zweckverbänden errichteten Sparkassen der Vorsitzende des Vertretungskörpers des Zweckverbands.</w:t>
      </w:r>
    </w:p>
    <w:p>
      <w:r>
        <w:t xml:space="preserve">(2) Die Vertretung des Vorsitzenden richtet sich</w:t>
      </w:r>
    </w:p>
    <w:p>
      <w:r>
        <w:t xml:space="preserve">a) bei den von Gemeinden errichteten Sparkassen nach den Vorschriften über die Vertretung des Bürgermeisters,</w:t>
      </w:r>
    </w:p>
    <w:p>
      <w:r>
        <w:t xml:space="preserve">b) bei den von Landkreisen errichteten Sparkassen nach den jeweils geltenden Vorschriften über die Vertretung des Landrats,</w:t>
      </w:r>
    </w:p>
    <w:p>
      <w:r>
        <w:t xml:space="preserve">c) bei den von Zweckverbänden errichteten Sparkassen nach der Satzung des Zweckverbands.</w:t>
      </w:r>
    </w:p>
    <w:p>
      <w:r>
        <w:rPr>
          <w:color w:val="555555"/>
          <w:sz w:val="17"/>
        </w:rPr>
        <w:t xml:space="preserve">Zitiervorschlag: Art 7 SpkG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