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SpkG (Bayern) — Rechtsfähigkeit</w:t>
      </w:r>
    </w:p>
    <w:p>
      <w:r>
        <w:rPr>
          <w:color w:val="555555"/>
          <w:sz w:val="18"/>
        </w:rPr>
        <w:t xml:space="preserve">Sparkassengesetz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der Erteilung der Genehmigung der Aufsichtsbehörde wird die Sparkasse eine rechtsfähige Anstalt des öffentlichen Rechts.</w:t>
      </w:r>
    </w:p>
    <w:p>
      <w:r>
        <w:rPr>
          <w:color w:val="555555"/>
          <w:sz w:val="17"/>
        </w:rPr>
        <w:t xml:space="preserve">Zitiervorschlag: Art 3 SpkG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https://recht.nulegal.eu/gesetze/SpkG/3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