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SpkG (Bayern) — Satzung der Sparkasse</w:t>
      </w:r>
    </w:p>
    <w:p>
      <w:r>
        <w:rPr>
          <w:color w:val="555555"/>
          <w:sz w:val="18"/>
        </w:rPr>
        <w:t xml:space="preserve">Sparkassengesetz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Im Rahmen dieses Gesetzes und der Sparkassenordnung sind die Verhältnisse der Sparkasse durch eine Satzung zu regeln. Die Satzung wird vom Träger erlassen; sie ist der Aufsichtsbehörde anzuzeigen.</w:t>
      </w:r>
    </w:p>
    <w:p>
      <w:r>
        <w:t xml:space="preserve">(2) Änderungen der Satzung werden vom Verwaltungsrat der Sparkasse beschlossen. Sie bedürfen der Zustimmung des Trägers und sind der Aufsichtsbehörde anzuzeigen.</w:t>
      </w:r>
    </w:p>
    <w:p>
      <w:r>
        <w:t xml:space="preserve">[Amtl. Anm.:] BayRS 2025-1-1-I</w:t>
      </w:r>
    </w:p>
    <w:p>
      <w:r>
        <w:rPr>
          <w:color w:val="555555"/>
          <w:sz w:val="17"/>
        </w:rPr>
        <w:t xml:space="preserve">Zitiervorschlag: Art 21 SpkG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