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SpkG (Bayern) — Aufgaben der Sparkassen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Sparkassen haben nach näherer Regelung der Sparkassenordnung 3) BayRS 2025-1-1-I</w:t>
      </w:r>
    </w:p>
    <w:p>
      <w:r>
        <w:t xml:space="preserve">(Art. 20) der Bevölkerung Gelegenheit zur sicheren und verzinslichen Anlegung von Ersparnissen und anderen Geldern zu geben sowie dem örtlichen Kreditbedürfnis, insbesondere der Bevölkerungsschichten, aus denen die Spareinlagen stammen, zu dienen. Sie haben durch geeignete Einrichtungen den Sparsinn der Bevölkerung zu pflegen und den bargeldlosen Zahlungsverkehr in jeder Weise zu fördern.</w:t>
      </w:r>
    </w:p>
    <w:p>
      <w:r>
        <w:rPr>
          <w:color w:val="555555"/>
          <w:sz w:val="17"/>
        </w:rPr>
        <w:t xml:space="preserve">Zitiervorschlag: Art 2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