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SpkG (Bayern) — Aufsicht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 über die Sparkasse wird unter Leitung des Staatsministeriums durch die Regierung ausgeübt.</w:t>
      </w:r>
    </w:p>
    <w:p>
      <w:r>
        <w:t xml:space="preserve">(2) Die Aufsicht erstreckt sich darauf, daß die Sparkasse ihre Geschäfte gesetz- und satzungsmäßig führt. Zu diesem Zweck kann die Aufsichtsbehörde jederzeit sämtliche Geschäfte und Verwaltungsvorgänge nachprüfen sowie Berichte und Akten einfordern.</w:t>
      </w:r>
    </w:p>
    <w:p>
      <w:r>
        <w:t xml:space="preserve">(3) Die Aufsichtsbehörde kann die Sparkasse anweisen, innerhalb einer angemessenen Frist die entsprechenden Maßnahmen zur Herstellung, des gesetz- und satzungsmäßigen Zustands zu treffen. Nach fruchtlosem Ablauf der Frist kann die Aufsichtsbehörde an Stelle und auf Kosten der Sparkasse die erforderlichen Verfügungen treffen und rechtserhebliche Erklärungen abgeben.</w:t>
      </w:r>
    </w:p>
    <w:p>
      <w:r>
        <w:t xml:space="preserve">(4) (aufgehoben)</w:t>
      </w:r>
    </w:p>
    <w:p>
      <w:r>
        <w:rPr>
          <w:color w:val="555555"/>
          <w:sz w:val="17"/>
        </w:rPr>
        <w:t xml:space="preserve">Zitiervorschlag: Art 13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