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SpkAkadG (Nordrhein-Westfalen)</w:t>
      </w:r>
    </w:p>
    <w:p>
      <w:r>
        <w:rPr>
          <w:color w:val="555555"/>
          <w:sz w:val="18"/>
        </w:rPr>
        <w:t xml:space="preserve">Sparkassenakademiegesetz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(Artikel 2 des Gesetzes zur Änderung sparkassenrechtlicher Vorschriften vom 16. Juli 2013 (GV. NRW. S. 490))</w:t>
      </w:r>
    </w:p>
    <w:p>
      <w:r>
        <w:rPr>
          <w:color w:val="555555"/>
          <w:sz w:val="17"/>
        </w:rPr>
        <w:t xml:space="preserve">Zitiervorschlag: Volltext SpkAkadG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https://recht.nulegal.eu/gesetze/SpkAkadG/volltext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