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SpkAkadG (Nordrhein-Westfalen) — Aufgaben der Trägerversammlung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Trägerversammlung legt die allgemeinen Grundsätze fest, nach denen die Aufgaben der Akademie zu erfüllen sind.</w:t>
      </w:r>
    </w:p>
    <w:p>
      <w:r>
        <w:t xml:space="preserve">(2) Die Trägerversammlung ist zuständig für:</w:t>
      </w:r>
    </w:p>
    <w:p>
      <w:r>
        <w:t xml:space="preserve">1. die Wahl und Bestellung der Mitglieder des Vorstandes;</w:t>
      </w:r>
    </w:p>
    <w:p>
      <w:r>
        <w:t xml:space="preserve">2. die Wahl der Mitglieder des Verwaltungsrates;</w:t>
      </w:r>
    </w:p>
    <w:p>
      <w:r>
        <w:t xml:space="preserve">3. die Genehmigung des Haushaltsplanes;</w:t>
      </w:r>
    </w:p>
    <w:p>
      <w:r>
        <w:t xml:space="preserve">4. die Prüfung und Feststellung des Jahresabschlusses und die Verwendung des Jahresergebnisses, die Entlastung des Vorstandes und des Verwaltungsrates;</w:t>
      </w:r>
    </w:p>
    <w:p>
      <w:r>
        <w:t xml:space="preserve">5. die Bestimmung des Abschlussprüfers;</w:t>
      </w:r>
    </w:p>
    <w:p>
      <w:r>
        <w:t xml:space="preserve">6. die Änderung der Satzung;</w:t>
      </w:r>
    </w:p>
    <w:p>
      <w:r>
        <w:t xml:space="preserve">7. sonstige ihr nach der Satzung zugewiesene Aufgaben.</w:t>
      </w:r>
    </w:p>
    <w:p>
      <w:r>
        <w:rPr>
          <w:color w:val="555555"/>
          <w:sz w:val="17"/>
        </w:rPr>
        <w:t xml:space="preserve">Zitiervorschlag: § 6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