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SpkAkadG (Nordrhein-Westfalen) — Gebührenfreiheit</w:t>
      </w:r>
    </w:p>
    <w:p>
      <w:r>
        <w:rPr>
          <w:color w:val="555555"/>
          <w:sz w:val="18"/>
        </w:rPr>
        <w:t xml:space="preserve">Sparkassenakademiegesetz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Rechtshandlungen, die aus Anlass der Errichtung der Sparkassenakademie Nordrhein-Westfalen erforderlich werden, sind frei von landesrechtlich geregelten Gebühren. Das Gleiche gilt für Beurkundungs- und Beglaubigungsgebühren.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Die Ministerpräsidentin</w:t>
      </w:r>
    </w:p>
    <w:p>
      <w:r>
        <w:t xml:space="preserve">Der Finanzminister</w:t>
      </w:r>
    </w:p>
    <w:p>
      <w:r>
        <w:t xml:space="preserve">Der Minister</w:t>
      </w:r>
    </w:p>
    <w:p>
      <w:r>
        <w:t xml:space="preserve">für Inneres und Kommunales</w:t>
      </w:r>
    </w:p>
    <w:p>
      <w:r>
        <w:t xml:space="preserve">Die Ministerin</w:t>
      </w:r>
    </w:p>
    <w:p>
      <w:r>
        <w:t xml:space="preserve">für Gesundheit, Emanzipation, Pflege und Alter</w:t>
      </w:r>
    </w:p>
    <w:p>
      <w:r>
        <w:rPr>
          <w:color w:val="555555"/>
          <w:sz w:val="17"/>
        </w:rPr>
        <w:t xml:space="preserve">Zitiervorschlag: § 12 SpkAkadG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https://recht.nulegal.eu/gesetze/SpkAkadG/12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