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SpkAkadG (Nordrhein-Westfalen) — Errichtung, Rechtsform, Name, Siegel</w:t>
      </w:r>
    </w:p>
    <w:p>
      <w:r>
        <w:rPr>
          <w:color w:val="555555"/>
          <w:sz w:val="18"/>
        </w:rPr>
        <w:t xml:space="preserve">Sparkassenakademiegesetz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Unter dem Namen „Sparkassenakademie Nordrhein-Westfalen“ wird durch Ausgliederung der Rheinischen Sparkassenakademie aus dem Rheinischen Sparkassen- und Giroverband und durch Ausgliederung der Westfälisch-Lippischen Sparkassenakademie aus dem Westfälisch-Lippischen Sparkassen- und Giroverband zum 1. Januar 2014 die Sparkassenakademie Nordrhein-Westfalen in der Rechtsform einer rechtsfähigen Anstalt des öffentlichen Rechts in der gemeinsamen Trägerschaft des Rheinischen Sparkassen- und Giroverbandes und des Westfälisch-Lippischen Sparkassen- und Giroverbandes errichtet.</w:t>
      </w:r>
    </w:p>
    <w:p>
      <w:r>
        <w:t xml:space="preserve">(2) Die Sparkassenakademie Nordrhein-Westfalen führt ein Siegel.</w:t>
      </w:r>
    </w:p>
    <w:p>
      <w:r>
        <w:rPr>
          <w:color w:val="555555"/>
          <w:sz w:val="17"/>
        </w:rPr>
        <w:t xml:space="preserve">Zitiervorschlag: § 1 SpkAkadG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https://recht.nulegal.eu/gesetze/SpkAkadG/1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