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SpkAV (Brandenburg) — Inkrafttreten</w:t>
      </w:r>
    </w:p>
    <w:p>
      <w:r>
        <w:rPr>
          <w:color w:val="555555"/>
          <w:sz w:val="18"/>
        </w:rPr>
        <w:t xml:space="preserve">Sparkassenanpassungsverordnung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_____________________</w:t>
      </w:r>
    </w:p>
    <w:p>
      <w:r>
        <w:t xml:space="preserve">mit Art. 97 LV unvereinbar (Urteil des</w:t>
      </w:r>
    </w:p>
    <w:p>
      <w:r>
        <w:t xml:space="preserve">Landesverfassungsgerichts vom 18.12.1997 - VfGBbg 47/96 [GVBl.I/98 S.10])</w:t>
      </w:r>
    </w:p>
    <w:p>
      <w:r>
        <w:t xml:space="preserve">zurück</w:t>
      </w:r>
    </w:p>
    <w:p>
      <w:r>
        <w:rPr>
          <w:color w:val="555555"/>
          <w:sz w:val="17"/>
        </w:rPr>
        <w:t xml:space="preserve">Zitiervorschlag: § 9 SpkAV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https://recht.nulegal.eu/gesetze/SpkAV/9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