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SpkAV (Brandenburg) — Anordnung der Sparkassenaufsichtsbehörde</w:t>
      </w:r>
    </w:p>
    <w:p>
      <w:r>
        <w:rPr>
          <w:color w:val="555555"/>
          <w:sz w:val="18"/>
        </w:rPr>
        <w:t xml:space="preserve">Sparkassenanpassungsverordnung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Werden die in § 26 des Kreisneugliederungsgesetzes und in</w:t>
      </w:r>
    </w:p>
    <w:p>
      <w:r>
        <w:t xml:space="preserve">den vorstehenden Bestimmungen festgelegten Grundsätze durch die Sparkassen</w:t>
      </w:r>
    </w:p>
    <w:p>
      <w:r>
        <w:t xml:space="preserve">oder die Vertretungen der Gewährträger nicht verwirklicht, kann die</w:t>
      </w:r>
    </w:p>
    <w:p>
      <w:r>
        <w:t xml:space="preserve">Sparkassenaufsichtsbehörde im Einvernehmen mit dem Ministerium des Innern</w:t>
      </w:r>
    </w:p>
    <w:p>
      <w:r>
        <w:t xml:space="preserve">die Durchführung der erforderlichen Maßnahmen anordnen.</w:t>
      </w:r>
    </w:p>
    <w:p>
      <w:r>
        <w:rPr>
          <w:color w:val="555555"/>
          <w:sz w:val="17"/>
        </w:rPr>
        <w:t xml:space="preserve">Zitiervorschlag: § 8 SpkAV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